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国家电投鲁北盐碱滩涂地风光储输一体化基地W5地块项目（二期）EPC光伏桩基工程管桩材料采购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国家电投鲁北盐碱滩涂地风光储输一体化基地W5地块项目（二期）EPC光伏桩基工程管桩材料采购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国家电投鲁北盐碱滩涂地风光储输一体化基地W5地块项目（二期）EPC光伏桩基工程管桩材料采购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2026-SDJK-SG2-005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sz w:val="24"/>
        </w:rPr>
        <w:t>预应力</w:t>
      </w:r>
      <w:r>
        <w:rPr>
          <w:rFonts w:hint="eastAsia" w:ascii="宋体" w:hAnsi="宋体" w:cs="宋体"/>
          <w:sz w:val="24"/>
          <w:lang w:val="en-US" w:eastAsia="zh-CN"/>
        </w:rPr>
        <w:t>高强</w:t>
      </w:r>
      <w:r>
        <w:rPr>
          <w:rFonts w:hint="eastAsia" w:ascii="宋体" w:hAnsi="宋体" w:cs="宋体"/>
          <w:sz w:val="24"/>
        </w:rPr>
        <w:t>混凝土</w:t>
      </w:r>
      <w:r>
        <w:rPr>
          <w:rFonts w:hint="eastAsia" w:ascii="宋体" w:hAnsi="宋体" w:cs="宋体"/>
          <w:sz w:val="24"/>
          <w:lang w:val="en-US" w:eastAsia="zh-CN"/>
        </w:rPr>
        <w:t>管</w:t>
      </w:r>
      <w:r>
        <w:rPr>
          <w:rFonts w:hint="eastAsia" w:ascii="宋体" w:hAnsi="宋体" w:cs="宋体"/>
          <w:sz w:val="24"/>
        </w:rPr>
        <w:t>桩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其中桩型PHC-300-A-70的管桩，单根5-6米，单端板，两头封堵，总量约19200延米；桩型PHC-400-A-95的管桩，单根7米左右，单端板，两头封堵，总量约94131延米；桩型PHC-400-AB-95的管桩，单根7米左右，单端板，两头封堵，总量约28060延米；桩型PHC-500-C-100的管桩，单根10米左右，双端板，总量约140875延米；桩型PHC-600-C-110的管桩，单根10米左右，双端板，总量约45990延米；总量约328256延米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家供应商；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653D2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0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1、供应商在中国境内注册，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具有独立法人资格，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持有合法有效的营业执照；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0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1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1.递交方式：电子响应文件通过阳光采购服务平台系统递交 （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"http://www.ygcgfw.com/" </w:instrTex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http://www.ygcgfw.com/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）。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01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3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4"/>
    </w:p>
    <w:p w14:paraId="2197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-0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6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7EB8A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王真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15165146715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023EC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、田艳红、肖明坤、赵士华、史鲁涛</w:t>
      </w:r>
    </w:p>
    <w:p w14:paraId="4A738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4A8FF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.阳光采购技术支持联系电话：0531-86195562。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p w14:paraId="7B4F5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bookmarkStart w:id="8" w:name="_GoBack"/>
      <w:bookmarkEnd w:id="8"/>
    </w:p>
    <w:bookmarkEnd w:id="7"/>
    <w:p w14:paraId="3A6C7B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2026年3月24日</w:t>
      </w:r>
    </w:p>
    <w:p w14:paraId="01D61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E12EA"/>
    <w:rsid w:val="47690014"/>
    <w:rsid w:val="4B2D7FEF"/>
    <w:rsid w:val="6F9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2023-02-08T08:41:00Z</dcterms:created>
  <dc:creator>MSI-NB</dc:creator>
  <cp:lastModifiedBy>少年锦时</cp:lastModifiedBy>
  <dcterms:modified xsi:type="dcterms:W3CDTF">2026-03-23T09:23:17Z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80CA2745A6B2484E896C7824895D5767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